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EB31" w14:textId="4EEF90FE" w:rsidR="00082F4C" w:rsidRPr="00F61B0E" w:rsidRDefault="0061250F" w:rsidP="0054029D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6367D8F" wp14:editId="579A46B3">
            <wp:simplePos x="0" y="0"/>
            <wp:positionH relativeFrom="column">
              <wp:posOffset>254000</wp:posOffset>
            </wp:positionH>
            <wp:positionV relativeFrom="paragraph">
              <wp:posOffset>81915</wp:posOffset>
            </wp:positionV>
            <wp:extent cx="1295400" cy="1295400"/>
            <wp:effectExtent l="0" t="0" r="0" b="0"/>
            <wp:wrapSquare wrapText="bothSides"/>
            <wp:docPr id="2" name="Picture 2" descr="what happens now? (@_whathappensnow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 happens now? (@_whathappensnow) | Twitte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27B" w:rsidRPr="00F61B0E">
        <w:rPr>
          <w:sz w:val="28"/>
          <w:szCs w:val="28"/>
        </w:rPr>
        <w:t xml:space="preserve"> </w:t>
      </w:r>
      <w:r w:rsidR="0054029D" w:rsidRPr="00F61B0E">
        <w:rPr>
          <w:sz w:val="28"/>
          <w:szCs w:val="28"/>
        </w:rPr>
        <w:t>“So Now What?” Series</w:t>
      </w:r>
    </w:p>
    <w:p w14:paraId="522FFE3E" w14:textId="1F2A6E3B" w:rsidR="0054029D" w:rsidRPr="0018227B" w:rsidRDefault="00894782" w:rsidP="0054029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Gross</w:t>
      </w:r>
      <w:r w:rsidR="00A87619">
        <w:rPr>
          <w:b/>
          <w:bCs/>
          <w:sz w:val="32"/>
          <w:szCs w:val="32"/>
        </w:rPr>
        <w:t xml:space="preserve"> Motor Activities for Preschoolers</w:t>
      </w:r>
    </w:p>
    <w:p w14:paraId="51891156" w14:textId="71A02470" w:rsidR="00E66712" w:rsidRDefault="00537A88" w:rsidP="00537A88">
      <w:pPr>
        <w:spacing w:after="0" w:line="240" w:lineRule="auto"/>
        <w:ind w:left="1440" w:firstLine="720"/>
        <w:rPr>
          <w:noProof/>
        </w:rPr>
      </w:pP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 w:rsidR="00F61B0E">
        <w:rPr>
          <w:noProof/>
        </w:rPr>
        <w:t>Contact Us!</w:t>
      </w:r>
      <w:r w:rsidR="00F61B0E">
        <w:rPr>
          <w:noProof/>
        </w:rPr>
        <w:tab/>
      </w:r>
      <w:hyperlink r:id="rId5" w:history="1">
        <w:r w:rsidRPr="00022EDE">
          <w:rPr>
            <w:rStyle w:val="Hyperlink"/>
            <w:noProof/>
          </w:rPr>
          <w:t>tecta@etsu.edu</w:t>
        </w:r>
      </w:hyperlink>
      <w:r>
        <w:rPr>
          <w:noProof/>
        </w:rPr>
        <w:tab/>
      </w:r>
      <w:r>
        <w:rPr>
          <w:noProof/>
        </w:rPr>
        <w:tab/>
        <w:t>(423)439-7854</w:t>
      </w:r>
    </w:p>
    <w:p w14:paraId="4FC4E9C8" w14:textId="27A2E3A3" w:rsidR="0018227B" w:rsidRDefault="0018227B" w:rsidP="0018227B">
      <w:pPr>
        <w:spacing w:after="0" w:line="240" w:lineRule="auto"/>
        <w:ind w:left="4320" w:firstLine="720"/>
        <w:rPr>
          <w:noProof/>
        </w:rPr>
      </w:pPr>
    </w:p>
    <w:p w14:paraId="2F039CF0" w14:textId="38A869EC" w:rsidR="00537A88" w:rsidRDefault="00537A88" w:rsidP="0018227B">
      <w:pPr>
        <w:spacing w:after="0" w:line="240" w:lineRule="auto"/>
        <w:ind w:left="4320" w:firstLine="720"/>
        <w:rPr>
          <w:noProof/>
        </w:rPr>
      </w:pPr>
    </w:p>
    <w:p w14:paraId="2FF44832" w14:textId="49826840" w:rsidR="00537A88" w:rsidRDefault="00537A88" w:rsidP="0018227B">
      <w:pPr>
        <w:spacing w:after="0" w:line="240" w:lineRule="auto"/>
        <w:ind w:left="4320" w:firstLine="720"/>
        <w:rPr>
          <w:noProof/>
        </w:rPr>
      </w:pPr>
    </w:p>
    <w:p w14:paraId="2AE64108" w14:textId="465665C0" w:rsidR="00537A88" w:rsidRDefault="00537A88" w:rsidP="0018227B">
      <w:pPr>
        <w:spacing w:after="0" w:line="240" w:lineRule="auto"/>
        <w:ind w:left="4320" w:firstLine="72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AAE20D" wp14:editId="71B60AF7">
                <wp:simplePos x="0" y="0"/>
                <wp:positionH relativeFrom="column">
                  <wp:posOffset>247650</wp:posOffset>
                </wp:positionH>
                <wp:positionV relativeFrom="paragraph">
                  <wp:posOffset>6610350</wp:posOffset>
                </wp:positionV>
                <wp:extent cx="4305300" cy="102235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9D176" w14:textId="7290ED38" w:rsidR="001A5C4A" w:rsidRDefault="001A5C4A">
                            <w:r>
                              <w:t xml:space="preserve">This series is designed to follow an educator’s completion of </w:t>
                            </w:r>
                            <w:r w:rsidR="0018227B">
                              <w:t xml:space="preserve">a TCCOTS training.  The information and ideas presented in the series will suggest concrete strategies for putting into action content learned in individual TCCOTS trainings.  Learning is best achieved by doing; </w:t>
                            </w:r>
                            <w:r w:rsidR="009740C4">
                              <w:t>let us support putting learning into action.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AE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5pt;margin-top:520.5pt;width:339pt;height:8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">
                <v:textbox>
                  <w:txbxContent>
                    <w:p w14:paraId="22B9D176" w14:textId="7290ED38" w:rsidR="001A5C4A" w:rsidRDefault="001A5C4A">
                      <w:r>
                        <w:t xml:space="preserve">This series is designed to follow an educator’s completion of </w:t>
                      </w:r>
                      <w:r w:rsidR="0018227B">
                        <w:t xml:space="preserve">a TCCOTS training.  The information and ideas presented in the series will suggest concrete strategies for putting into action content learned in individual TCCOTS trainings.  Learning is best achieved by doing; </w:t>
                      </w:r>
                      <w:r w:rsidR="009740C4">
                        <w:t>let us support putting learning into action.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98"/>
        <w:tblW w:w="10075" w:type="dxa"/>
        <w:tblLook w:val="04A0" w:firstRow="1" w:lastRow="0" w:firstColumn="1" w:lastColumn="0" w:noHBand="0" w:noVBand="1"/>
      </w:tblPr>
      <w:tblGrid>
        <w:gridCol w:w="2245"/>
        <w:gridCol w:w="3960"/>
        <w:gridCol w:w="3870"/>
      </w:tblGrid>
      <w:tr w:rsidR="00356461" w14:paraId="27655EE6" w14:textId="77777777" w:rsidTr="00356461">
        <w:tc>
          <w:tcPr>
            <w:tcW w:w="2245" w:type="dxa"/>
            <w:shd w:val="clear" w:color="auto" w:fill="BFBFBF" w:themeFill="background1" w:themeFillShade="BF"/>
          </w:tcPr>
          <w:p w14:paraId="1C537A8A" w14:textId="2F5BFE71" w:rsidR="0018227B" w:rsidRPr="0018227B" w:rsidRDefault="0018227B" w:rsidP="00356461">
            <w:pPr>
              <w:jc w:val="center"/>
              <w:rPr>
                <w:b/>
                <w:bCs/>
                <w:noProof/>
              </w:rPr>
            </w:pPr>
            <w:r w:rsidRPr="0018227B">
              <w:rPr>
                <w:b/>
                <w:bCs/>
                <w:noProof/>
              </w:rPr>
              <w:t>Training Content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4990C0F2" w14:textId="6F3E90A9" w:rsidR="0018227B" w:rsidRPr="0018227B" w:rsidRDefault="0018227B" w:rsidP="00356461">
            <w:pPr>
              <w:jc w:val="center"/>
              <w:rPr>
                <w:b/>
                <w:bCs/>
                <w:noProof/>
              </w:rPr>
            </w:pPr>
            <w:r w:rsidRPr="0018227B">
              <w:rPr>
                <w:b/>
                <w:bCs/>
                <w:noProof/>
              </w:rPr>
              <w:t>So Now What?</w:t>
            </w:r>
          </w:p>
        </w:tc>
        <w:tc>
          <w:tcPr>
            <w:tcW w:w="3870" w:type="dxa"/>
            <w:shd w:val="clear" w:color="auto" w:fill="BFBFBF" w:themeFill="background1" w:themeFillShade="BF"/>
          </w:tcPr>
          <w:p w14:paraId="5146E253" w14:textId="5D83A4B9" w:rsidR="0018227B" w:rsidRPr="0018227B" w:rsidRDefault="0018227B" w:rsidP="00356461">
            <w:pPr>
              <w:jc w:val="center"/>
              <w:rPr>
                <w:b/>
                <w:bCs/>
                <w:noProof/>
              </w:rPr>
            </w:pPr>
            <w:r w:rsidRPr="0018227B">
              <w:rPr>
                <w:b/>
                <w:bCs/>
                <w:noProof/>
              </w:rPr>
              <w:t>How TECTA Can Help</w:t>
            </w:r>
          </w:p>
        </w:tc>
      </w:tr>
      <w:tr w:rsidR="0018227B" w14:paraId="215FCDD9" w14:textId="77777777" w:rsidTr="00356461">
        <w:tc>
          <w:tcPr>
            <w:tcW w:w="2245" w:type="dxa"/>
          </w:tcPr>
          <w:p w14:paraId="76F661BD" w14:textId="0299046F" w:rsidR="0018227B" w:rsidRDefault="00A87619" w:rsidP="00356461">
            <w:pPr>
              <w:rPr>
                <w:noProof/>
              </w:rPr>
            </w:pPr>
            <w:r>
              <w:rPr>
                <w:noProof/>
              </w:rPr>
              <w:t>Developmental Milestones</w:t>
            </w:r>
          </w:p>
        </w:tc>
        <w:tc>
          <w:tcPr>
            <w:tcW w:w="3960" w:type="dxa"/>
          </w:tcPr>
          <w:p w14:paraId="651074BD" w14:textId="39E727FE" w:rsidR="0018227B" w:rsidRDefault="00C6092E" w:rsidP="00356461">
            <w:pPr>
              <w:rPr>
                <w:noProof/>
              </w:rPr>
            </w:pPr>
            <w:r>
              <w:rPr>
                <w:noProof/>
              </w:rPr>
              <w:t>Teachers use resources such as CDC and KidCentralTN to review typical developmental milestones</w:t>
            </w:r>
          </w:p>
        </w:tc>
        <w:tc>
          <w:tcPr>
            <w:tcW w:w="3870" w:type="dxa"/>
          </w:tcPr>
          <w:p w14:paraId="435B51D9" w14:textId="47618EB9" w:rsidR="0018227B" w:rsidRDefault="00C6092E" w:rsidP="00356461">
            <w:pPr>
              <w:rPr>
                <w:noProof/>
              </w:rPr>
            </w:pPr>
            <w:r>
              <w:rPr>
                <w:noProof/>
              </w:rPr>
              <w:t xml:space="preserve">We can review lesson plans and provide feedback on how teachers can intentionally plan for appropriate developmental activites. </w:t>
            </w:r>
          </w:p>
        </w:tc>
      </w:tr>
      <w:tr w:rsidR="00356461" w14:paraId="1639EF91" w14:textId="77777777" w:rsidTr="00356461">
        <w:tc>
          <w:tcPr>
            <w:tcW w:w="2245" w:type="dxa"/>
            <w:shd w:val="clear" w:color="auto" w:fill="D9D9D9" w:themeFill="background1" w:themeFillShade="D9"/>
          </w:tcPr>
          <w:p w14:paraId="7368B367" w14:textId="4CE108A0" w:rsidR="0018227B" w:rsidRDefault="00894782" w:rsidP="00356461">
            <w:pPr>
              <w:rPr>
                <w:noProof/>
              </w:rPr>
            </w:pPr>
            <w:r>
              <w:rPr>
                <w:noProof/>
              </w:rPr>
              <w:t>TN-ELDS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12B771C1" w14:textId="3CFCFF6B" w:rsidR="0018227B" w:rsidRDefault="00C6092E" w:rsidP="00356461">
            <w:pPr>
              <w:rPr>
                <w:noProof/>
              </w:rPr>
            </w:pPr>
            <w:r>
              <w:rPr>
                <w:noProof/>
              </w:rPr>
              <w:t>Teachers can review the TN-ELDs ,Physical Development and use them when lesson planning.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2293ABFE" w14:textId="6722FC5D" w:rsidR="0018227B" w:rsidRDefault="00C6092E" w:rsidP="00356461">
            <w:pPr>
              <w:rPr>
                <w:noProof/>
              </w:rPr>
            </w:pPr>
            <w:r>
              <w:rPr>
                <w:noProof/>
              </w:rPr>
              <w:t>We can help provide teachers excamples for how to meet a given TN-ELD Physical Development Standard</w:t>
            </w:r>
          </w:p>
        </w:tc>
      </w:tr>
      <w:tr w:rsidR="0018227B" w14:paraId="3541898C" w14:textId="77777777" w:rsidTr="00356461">
        <w:tc>
          <w:tcPr>
            <w:tcW w:w="2245" w:type="dxa"/>
          </w:tcPr>
          <w:p w14:paraId="47A83B4F" w14:textId="659518B3" w:rsidR="0018227B" w:rsidRDefault="00894782" w:rsidP="00356461">
            <w:pPr>
              <w:rPr>
                <w:noProof/>
              </w:rPr>
            </w:pPr>
            <w:r>
              <w:rPr>
                <w:noProof/>
              </w:rPr>
              <w:t>Child-Directed Play/Learning through Play</w:t>
            </w:r>
          </w:p>
        </w:tc>
        <w:tc>
          <w:tcPr>
            <w:tcW w:w="3960" w:type="dxa"/>
          </w:tcPr>
          <w:p w14:paraId="1BF810EE" w14:textId="2054BC5F" w:rsidR="0018227B" w:rsidRDefault="00C6092E" w:rsidP="00356461">
            <w:pPr>
              <w:rPr>
                <w:noProof/>
              </w:rPr>
            </w:pPr>
            <w:r>
              <w:rPr>
                <w:noProof/>
              </w:rPr>
              <w:t xml:space="preserve"> Locomotor movement is</w:t>
            </w:r>
            <w:r w:rsidR="005D643D">
              <w:rPr>
                <w:noProof/>
              </w:rPr>
              <w:t xml:space="preserve"> a part of gross motor development; teachers can engage with children during their play, whether running, skipping, or hopping. Hopscotch games, bean bag toss, or game of Simon Says are a few examples. </w:t>
            </w:r>
          </w:p>
        </w:tc>
        <w:tc>
          <w:tcPr>
            <w:tcW w:w="3870" w:type="dxa"/>
          </w:tcPr>
          <w:p w14:paraId="16AE3C07" w14:textId="3528844E" w:rsidR="00DD55F2" w:rsidRDefault="005D643D" w:rsidP="00356461">
            <w:pPr>
              <w:rPr>
                <w:noProof/>
              </w:rPr>
            </w:pPr>
            <w:r>
              <w:rPr>
                <w:noProof/>
              </w:rPr>
              <w:t xml:space="preserve">We can observe your classroom and provide feedback </w:t>
            </w:r>
            <w:r w:rsidR="00E66712">
              <w:rPr>
                <w:noProof/>
              </w:rPr>
              <w:t>as to how you are being intentional about providing children opportunities to learn</w:t>
            </w:r>
            <w:r w:rsidR="00537A88">
              <w:rPr>
                <w:noProof/>
              </w:rPr>
              <w:t xml:space="preserve"> new skills</w:t>
            </w:r>
            <w:r w:rsidR="00E66712">
              <w:rPr>
                <w:noProof/>
              </w:rPr>
              <w:t xml:space="preserve"> through their play. </w:t>
            </w:r>
          </w:p>
        </w:tc>
      </w:tr>
      <w:tr w:rsidR="00356461" w14:paraId="1A91DE9B" w14:textId="77777777" w:rsidTr="00356461">
        <w:tc>
          <w:tcPr>
            <w:tcW w:w="2245" w:type="dxa"/>
            <w:shd w:val="clear" w:color="auto" w:fill="D9D9D9" w:themeFill="background1" w:themeFillShade="D9"/>
          </w:tcPr>
          <w:p w14:paraId="2E4691C2" w14:textId="72D9B510" w:rsidR="0018227B" w:rsidRDefault="00A869C7" w:rsidP="00356461">
            <w:pPr>
              <w:rPr>
                <w:noProof/>
              </w:rPr>
            </w:pPr>
            <w:r>
              <w:rPr>
                <w:noProof/>
              </w:rPr>
              <w:t>Schedule/Outdoor play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64528768" w14:textId="1EC8BBF6" w:rsidR="0018227B" w:rsidRDefault="005D643D" w:rsidP="00356461">
            <w:pPr>
              <w:rPr>
                <w:noProof/>
              </w:rPr>
            </w:pPr>
            <w:r>
              <w:rPr>
                <w:noProof/>
              </w:rPr>
              <w:t>Children need the freedom and ample time to move about the room as well as when outide. Can’t go outside? How about an indoor obstacle course?!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4D218902" w14:textId="38BB73FC" w:rsidR="0018227B" w:rsidRDefault="005D643D" w:rsidP="00356461">
            <w:pPr>
              <w:rPr>
                <w:noProof/>
              </w:rPr>
            </w:pPr>
            <w:r>
              <w:rPr>
                <w:noProof/>
              </w:rPr>
              <w:t>We can review your schedule and help brainstorm developmental games (for both indoor and outdoor).</w:t>
            </w:r>
          </w:p>
        </w:tc>
      </w:tr>
      <w:tr w:rsidR="0018227B" w14:paraId="5F2B6C50" w14:textId="77777777" w:rsidTr="00356461">
        <w:tc>
          <w:tcPr>
            <w:tcW w:w="2245" w:type="dxa"/>
          </w:tcPr>
          <w:p w14:paraId="6915A1B8" w14:textId="178A038F" w:rsidR="0018227B" w:rsidRDefault="00A869C7" w:rsidP="00356461">
            <w:pPr>
              <w:rPr>
                <w:noProof/>
              </w:rPr>
            </w:pPr>
            <w:r>
              <w:rPr>
                <w:noProof/>
              </w:rPr>
              <w:t>Music/Movement</w:t>
            </w:r>
          </w:p>
        </w:tc>
        <w:tc>
          <w:tcPr>
            <w:tcW w:w="3960" w:type="dxa"/>
          </w:tcPr>
          <w:p w14:paraId="7DE9FFA2" w14:textId="37F2EE34" w:rsidR="0018227B" w:rsidRDefault="005D643D" w:rsidP="00356461">
            <w:pPr>
              <w:rPr>
                <w:noProof/>
              </w:rPr>
            </w:pPr>
            <w:r>
              <w:rPr>
                <w:noProof/>
              </w:rPr>
              <w:t xml:space="preserve">Children can develop skills through music and movement opportunities. How are you engaging and participating with children durng your music and movement time? </w:t>
            </w:r>
          </w:p>
        </w:tc>
        <w:tc>
          <w:tcPr>
            <w:tcW w:w="3870" w:type="dxa"/>
          </w:tcPr>
          <w:p w14:paraId="1500EA5B" w14:textId="1036FF9A" w:rsidR="0018227B" w:rsidRDefault="005D643D" w:rsidP="00356461">
            <w:pPr>
              <w:rPr>
                <w:noProof/>
              </w:rPr>
            </w:pPr>
            <w:r>
              <w:rPr>
                <w:noProof/>
              </w:rPr>
              <w:t>We can help you with song suggestions or movements</w:t>
            </w:r>
            <w:r w:rsidR="00537A88">
              <w:rPr>
                <w:noProof/>
              </w:rPr>
              <w:t xml:space="preserve"> by sharing and modeling.</w:t>
            </w:r>
          </w:p>
        </w:tc>
      </w:tr>
      <w:tr w:rsidR="005A1A9B" w14:paraId="39B8D926" w14:textId="77777777" w:rsidTr="00356461">
        <w:tc>
          <w:tcPr>
            <w:tcW w:w="2245" w:type="dxa"/>
            <w:shd w:val="clear" w:color="auto" w:fill="D9D9D9" w:themeFill="background1" w:themeFillShade="D9"/>
          </w:tcPr>
          <w:p w14:paraId="44A4C9E9" w14:textId="615B10A5" w:rsidR="005A1A9B" w:rsidRDefault="00A869C7" w:rsidP="00356461">
            <w:pPr>
              <w:rPr>
                <w:noProof/>
              </w:rPr>
            </w:pPr>
            <w:r>
              <w:rPr>
                <w:noProof/>
              </w:rPr>
              <w:t>Bodies In Motion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0E2D8A0" w14:textId="54AC3860" w:rsidR="005A1A9B" w:rsidRDefault="00A869C7" w:rsidP="00356461">
            <w:pPr>
              <w:rPr>
                <w:noProof/>
              </w:rPr>
            </w:pPr>
            <w:r>
              <w:rPr>
                <w:noProof/>
              </w:rPr>
              <w:t>Preschoolers are essentially, bodies in motion; in doing so, they are constantly becoming more aware of how their bodies move in space as well as other people and objects move in space</w:t>
            </w:r>
            <w:r w:rsidR="00C6092E">
              <w:rPr>
                <w:noProof/>
              </w:rPr>
              <w:t xml:space="preserve">. How are you providing children opportunities to be bodies in motion? 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199D1199" w14:textId="4DA5E214" w:rsidR="005A1A9B" w:rsidRDefault="00E66712" w:rsidP="00356461">
            <w:pPr>
              <w:rPr>
                <w:noProof/>
              </w:rPr>
            </w:pPr>
            <w:r>
              <w:rPr>
                <w:noProof/>
              </w:rPr>
              <w:t>We can help write a letter to families explaining the importance of gross motor development and learning these skills through play</w:t>
            </w:r>
            <w:r w:rsidR="00537A88">
              <w:rPr>
                <w:noProof/>
              </w:rPr>
              <w:t>. We can help you document development of children for families.</w:t>
            </w:r>
          </w:p>
        </w:tc>
      </w:tr>
      <w:tr w:rsidR="005A1A9B" w14:paraId="79408C30" w14:textId="77777777" w:rsidTr="00356461">
        <w:tc>
          <w:tcPr>
            <w:tcW w:w="2245" w:type="dxa"/>
            <w:shd w:val="clear" w:color="auto" w:fill="auto"/>
          </w:tcPr>
          <w:p w14:paraId="5634621A" w14:textId="51DF4EF6" w:rsidR="005A1A9B" w:rsidRDefault="00A869C7" w:rsidP="00356461">
            <w:pPr>
              <w:rPr>
                <w:noProof/>
              </w:rPr>
            </w:pPr>
            <w:r>
              <w:rPr>
                <w:noProof/>
              </w:rPr>
              <w:t>Acivities</w:t>
            </w:r>
          </w:p>
        </w:tc>
        <w:tc>
          <w:tcPr>
            <w:tcW w:w="3960" w:type="dxa"/>
            <w:shd w:val="clear" w:color="auto" w:fill="auto"/>
          </w:tcPr>
          <w:p w14:paraId="32A45949" w14:textId="5456C5E8" w:rsidR="005A1A9B" w:rsidRDefault="005D643D" w:rsidP="00356461">
            <w:pPr>
              <w:rPr>
                <w:noProof/>
              </w:rPr>
            </w:pPr>
            <w:r>
              <w:rPr>
                <w:noProof/>
              </w:rPr>
              <w:t>Some activities require few materials while others require some of various sizes and weights; providing children various sizes of balls, balance beams (or tape walking!), or hoola hoops used as lilly pads to “hop” to are a few examples.</w:t>
            </w:r>
          </w:p>
        </w:tc>
        <w:tc>
          <w:tcPr>
            <w:tcW w:w="3870" w:type="dxa"/>
            <w:shd w:val="clear" w:color="auto" w:fill="auto"/>
          </w:tcPr>
          <w:p w14:paraId="66021730" w14:textId="3E2F8BFD" w:rsidR="0061250F" w:rsidRDefault="00E66712" w:rsidP="00356461">
            <w:pPr>
              <w:rPr>
                <w:noProof/>
              </w:rPr>
            </w:pPr>
            <w:r>
              <w:rPr>
                <w:noProof/>
              </w:rPr>
              <w:t>We can brainstorm with you gross motor acvities and games for both indoor and outdoor and how they aim to help children develop these skills.</w:t>
            </w:r>
          </w:p>
        </w:tc>
      </w:tr>
    </w:tbl>
    <w:p w14:paraId="54D9C601" w14:textId="0049AF6E" w:rsidR="0054029D" w:rsidRDefault="00537A88" w:rsidP="00537A88">
      <w:pPr>
        <w:spacing w:after="0" w:line="240" w:lineRule="auto"/>
        <w:ind w:left="4320" w:firstLine="72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5AC1446" wp14:editId="5F4CB26C">
            <wp:simplePos x="0" y="0"/>
            <wp:positionH relativeFrom="margin">
              <wp:posOffset>4984115</wp:posOffset>
            </wp:positionH>
            <wp:positionV relativeFrom="paragraph">
              <wp:posOffset>6475095</wp:posOffset>
            </wp:positionV>
            <wp:extent cx="1522095" cy="901700"/>
            <wp:effectExtent l="0" t="0" r="1905" b="0"/>
            <wp:wrapSquare wrapText="bothSides"/>
            <wp:docPr id="6" name="Picture 5" descr="A close up of a newspap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1D9B71-68E7-4528-B305-A10D330CC10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close up of a newspaper&#10;&#10;Description automatically generated">
                      <a:extLst>
                        <a:ext uri="{FF2B5EF4-FFF2-40B4-BE49-F238E27FC236}">
                          <a16:creationId xmlns:a16="http://schemas.microsoft.com/office/drawing/2014/main" id="{851D9B71-68E7-4528-B305-A10D330CC10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7A9E5E" w14:textId="5B77CFF7" w:rsidR="00537A88" w:rsidRDefault="00537A88" w:rsidP="00537A88">
      <w:pPr>
        <w:spacing w:after="0" w:line="240" w:lineRule="auto"/>
        <w:ind w:left="4320" w:firstLine="720"/>
        <w:rPr>
          <w:noProof/>
        </w:rPr>
      </w:pPr>
      <w:bookmarkStart w:id="0" w:name="_GoBack"/>
      <w:bookmarkEnd w:id="0"/>
    </w:p>
    <w:p w14:paraId="6764022F" w14:textId="28F2A8FD" w:rsidR="00537A88" w:rsidRDefault="00537A88" w:rsidP="00537A88">
      <w:pPr>
        <w:spacing w:after="0" w:line="240" w:lineRule="auto"/>
        <w:ind w:left="4320" w:firstLine="720"/>
        <w:rPr>
          <w:noProof/>
        </w:rPr>
      </w:pPr>
    </w:p>
    <w:sectPr w:rsidR="00537A88" w:rsidSect="00356461">
      <w:pgSz w:w="12240" w:h="15840"/>
      <w:pgMar w:top="720" w:right="720" w:bottom="720" w:left="72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29D"/>
    <w:rsid w:val="00082F4C"/>
    <w:rsid w:val="0018227B"/>
    <w:rsid w:val="001A5C4A"/>
    <w:rsid w:val="001D45E5"/>
    <w:rsid w:val="002C4AB3"/>
    <w:rsid w:val="00356461"/>
    <w:rsid w:val="003846B6"/>
    <w:rsid w:val="00537A88"/>
    <w:rsid w:val="0054029D"/>
    <w:rsid w:val="00546ABE"/>
    <w:rsid w:val="00593C64"/>
    <w:rsid w:val="005A1A9B"/>
    <w:rsid w:val="005D643D"/>
    <w:rsid w:val="0061250F"/>
    <w:rsid w:val="00894782"/>
    <w:rsid w:val="008D22A1"/>
    <w:rsid w:val="008D4FDE"/>
    <w:rsid w:val="009740C4"/>
    <w:rsid w:val="00A869C7"/>
    <w:rsid w:val="00A87619"/>
    <w:rsid w:val="00C6092E"/>
    <w:rsid w:val="00DD55F2"/>
    <w:rsid w:val="00E66712"/>
    <w:rsid w:val="00F6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FF160"/>
  <w15:chartTrackingRefBased/>
  <w15:docId w15:val="{6682E59A-F63D-4395-A1D5-87AAB3E0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1B0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1B0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2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37A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tecta@etsu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Jones</dc:creator>
  <cp:keywords/>
  <dc:description/>
  <cp:lastModifiedBy>Logan, Heather Renee</cp:lastModifiedBy>
  <cp:revision>3</cp:revision>
  <dcterms:created xsi:type="dcterms:W3CDTF">2020-04-17T20:27:00Z</dcterms:created>
  <dcterms:modified xsi:type="dcterms:W3CDTF">2020-04-20T18:39:00Z</dcterms:modified>
</cp:coreProperties>
</file>