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0F87" w14:textId="77777777" w:rsidR="00D4522C" w:rsidRPr="00521E06" w:rsidRDefault="00D4522C" w:rsidP="00D4522C">
      <w:pPr>
        <w:shd w:val="clear" w:color="auto" w:fill="F8F8F8"/>
        <w:spacing w:after="60" w:line="240" w:lineRule="auto"/>
        <w:outlineLvl w:val="0"/>
        <w:rPr>
          <w:rFonts w:eastAsia="Times New Roman" w:cstheme="minorHAnsi"/>
          <w:color w:val="333333"/>
          <w:kern w:val="36"/>
          <w:sz w:val="36"/>
          <w:szCs w:val="36"/>
          <w:lang w:val="en"/>
        </w:rPr>
      </w:pPr>
      <w:bookmarkStart w:id="0" w:name="_GoBack"/>
      <w:bookmarkEnd w:id="0"/>
      <w:r w:rsidRPr="00521E06">
        <w:rPr>
          <w:rFonts w:eastAsia="Times New Roman" w:cstheme="minorHAnsi"/>
          <w:color w:val="333333"/>
          <w:kern w:val="36"/>
          <w:sz w:val="36"/>
          <w:szCs w:val="36"/>
          <w:lang w:val="en"/>
        </w:rPr>
        <w:t>Criteria for the Evaluation of Scholarly and Creative Productivity</w:t>
      </w:r>
    </w:p>
    <w:p w14:paraId="6CE10F88" w14:textId="77777777" w:rsidR="00D4522C" w:rsidRPr="00D4522C" w:rsidRDefault="00D4522C" w:rsidP="00D4522C">
      <w:pPr>
        <w:shd w:val="clear" w:color="auto" w:fill="F8F8F8"/>
        <w:spacing w:after="360" w:line="240" w:lineRule="auto"/>
        <w:rPr>
          <w:rFonts w:eastAsia="Times New Roman" w:cstheme="minorHAnsi"/>
          <w:color w:val="333333"/>
          <w:sz w:val="19"/>
          <w:szCs w:val="19"/>
          <w:lang w:val="en"/>
        </w:rPr>
      </w:pP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 xml:space="preserve">The term "scholarly and creative productivity" comprises a variety of activities, including those typically defined as research. Because activities considered to be scholarly and creative productivity vary considerably from discipline to discipline, the </w:t>
      </w:r>
      <w:r w:rsidR="006B70BC">
        <w:rPr>
          <w:rFonts w:eastAsia="Times New Roman" w:cstheme="minorHAnsi"/>
          <w:color w:val="333333"/>
          <w:sz w:val="19"/>
          <w:szCs w:val="19"/>
          <w:lang w:val="en"/>
        </w:rPr>
        <w:t>College</w:t>
      </w: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 xml:space="preserve"> recognizes that scholarly and creative productivity includes all forms of discovery and integration of knowledge, critical analysis, and products and performances. </w:t>
      </w:r>
    </w:p>
    <w:p w14:paraId="6CE10F89" w14:textId="77777777" w:rsidR="00D4522C" w:rsidRPr="00521E06" w:rsidRDefault="00D4522C" w:rsidP="00D4522C">
      <w:pPr>
        <w:shd w:val="clear" w:color="auto" w:fill="F8F8F8"/>
        <w:spacing w:before="180" w:after="60" w:line="240" w:lineRule="auto"/>
        <w:outlineLvl w:val="1"/>
        <w:rPr>
          <w:rFonts w:eastAsia="Times New Roman" w:cstheme="minorHAnsi"/>
          <w:color w:val="333333"/>
          <w:sz w:val="36"/>
          <w:szCs w:val="36"/>
          <w:lang w:val="en"/>
        </w:rPr>
      </w:pPr>
      <w:r w:rsidRPr="00521E06">
        <w:rPr>
          <w:rFonts w:eastAsia="Times New Roman" w:cstheme="minorHAnsi"/>
          <w:color w:val="333333"/>
          <w:sz w:val="36"/>
          <w:szCs w:val="36"/>
          <w:lang w:val="en"/>
        </w:rPr>
        <w:t>Definition of Research </w:t>
      </w:r>
    </w:p>
    <w:p w14:paraId="6CE10F8A" w14:textId="77777777" w:rsidR="00D4522C" w:rsidRPr="00D4522C" w:rsidRDefault="00D4522C" w:rsidP="00D4522C">
      <w:pPr>
        <w:shd w:val="clear" w:color="auto" w:fill="F8F8F8"/>
        <w:spacing w:after="360" w:line="240" w:lineRule="auto"/>
        <w:rPr>
          <w:rFonts w:eastAsia="Times New Roman" w:cstheme="minorHAnsi"/>
          <w:color w:val="333333"/>
          <w:sz w:val="19"/>
          <w:szCs w:val="19"/>
          <w:lang w:val="en"/>
        </w:rPr>
      </w:pP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 xml:space="preserve">A large subset within the area of scholarly and creative productivity is commonly called research. The term "research" has been defined by the </w:t>
      </w:r>
      <w:r w:rsidR="006B70BC">
        <w:rPr>
          <w:rFonts w:eastAsia="Times New Roman" w:cstheme="minorHAnsi"/>
          <w:color w:val="333333"/>
          <w:sz w:val="19"/>
          <w:szCs w:val="19"/>
          <w:lang w:val="en"/>
        </w:rPr>
        <w:t>Internal Research Advisory Committee (IRAC)</w:t>
      </w: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 xml:space="preserve">, and the faculty evaluation system </w:t>
      </w:r>
      <w:r w:rsidR="006B70BC">
        <w:rPr>
          <w:rFonts w:eastAsia="Times New Roman" w:cstheme="minorHAnsi"/>
          <w:color w:val="333333"/>
          <w:sz w:val="19"/>
          <w:szCs w:val="19"/>
          <w:lang w:val="en"/>
        </w:rPr>
        <w:t>shall continue to recognize IRACs</w:t>
      </w: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 xml:space="preserve"> definition of research and modes of documenting research.</w:t>
      </w:r>
    </w:p>
    <w:p w14:paraId="6CE10F8B" w14:textId="77777777" w:rsidR="00D4522C" w:rsidRPr="00D4522C" w:rsidRDefault="00D4522C" w:rsidP="00D4522C">
      <w:pPr>
        <w:shd w:val="clear" w:color="auto" w:fill="F8F8F8"/>
        <w:spacing w:after="360" w:line="240" w:lineRule="auto"/>
        <w:rPr>
          <w:rFonts w:eastAsia="Times New Roman" w:cstheme="minorHAnsi"/>
          <w:color w:val="333333"/>
          <w:sz w:val="19"/>
          <w:szCs w:val="19"/>
          <w:lang w:val="en"/>
        </w:rPr>
      </w:pP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>The definition for research is: </w:t>
      </w: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br/>
      </w: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br/>
        <w:t xml:space="preserve">A deliberative process which contributes to the expansion of knowledge and understanding, applies such knowledge and understanding to societal issues, or exemplifies creative expression in a specific field of study. The results of research and creative activities are shared with professionals outside the University through a peer-reviewed or juried process in a manner appropriate to the discipline.  </w:t>
      </w: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br/>
      </w: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br/>
        <w:t xml:space="preserve">The </w:t>
      </w:r>
      <w:r w:rsidR="00521E06">
        <w:rPr>
          <w:rFonts w:eastAsia="Times New Roman" w:cstheme="minorHAnsi"/>
          <w:color w:val="333333"/>
          <w:sz w:val="19"/>
          <w:szCs w:val="19"/>
          <w:lang w:val="en"/>
        </w:rPr>
        <w:t>College</w:t>
      </w: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 xml:space="preserve"> recognizes both the scholarship of discovery and scholarship of integration. The scholarship of discovery contributes to knowledge and involves the pursuit of knowledge and/or creative expression for its own sake. The scholarship of integration interprets, draws together, and brings new insight to bear on original research or creative expressions. </w:t>
      </w:r>
    </w:p>
    <w:p w14:paraId="6CE10F8C" w14:textId="77777777" w:rsidR="00D4522C" w:rsidRPr="00521E06" w:rsidRDefault="00D4522C" w:rsidP="00D4522C">
      <w:pPr>
        <w:shd w:val="clear" w:color="auto" w:fill="F8F8F8"/>
        <w:spacing w:before="180" w:after="60" w:line="240" w:lineRule="auto"/>
        <w:outlineLvl w:val="1"/>
        <w:rPr>
          <w:rFonts w:eastAsia="Times New Roman" w:cstheme="minorHAnsi"/>
          <w:color w:val="333333"/>
          <w:sz w:val="36"/>
          <w:szCs w:val="36"/>
          <w:lang w:val="en"/>
        </w:rPr>
      </w:pPr>
      <w:r w:rsidRPr="00521E06">
        <w:rPr>
          <w:rFonts w:eastAsia="Times New Roman" w:cstheme="minorHAnsi"/>
          <w:color w:val="333333"/>
          <w:sz w:val="36"/>
          <w:szCs w:val="36"/>
          <w:lang w:val="en"/>
        </w:rPr>
        <w:t>Evaluation Guidelines and Criteria for Scholarly and Creative Productivity</w:t>
      </w:r>
    </w:p>
    <w:p w14:paraId="6CE10F8D" w14:textId="221981AE" w:rsidR="00D4522C" w:rsidRPr="00D4522C" w:rsidRDefault="00D4522C" w:rsidP="00D4522C">
      <w:pPr>
        <w:shd w:val="clear" w:color="auto" w:fill="F8F8F8"/>
        <w:spacing w:after="360" w:line="240" w:lineRule="auto"/>
        <w:rPr>
          <w:rFonts w:eastAsia="Times New Roman" w:cstheme="minorHAnsi"/>
          <w:color w:val="333333"/>
          <w:sz w:val="19"/>
          <w:szCs w:val="19"/>
          <w:lang w:val="en"/>
        </w:rPr>
      </w:pP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 xml:space="preserve">The evaluation of scholarly and creative productivity requires consideration of a variety of factors </w:t>
      </w:r>
      <w:r w:rsidR="00DE3F7E">
        <w:rPr>
          <w:rFonts w:eastAsia="Times New Roman" w:cstheme="minorHAnsi"/>
          <w:color w:val="333333"/>
          <w:sz w:val="19"/>
          <w:szCs w:val="19"/>
          <w:lang w:val="en"/>
        </w:rPr>
        <w:t>including</w:t>
      </w: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 xml:space="preserve"> quality and significance of each contribution. Factors used to evaluate meritorious scholarly and creative productivity include but are not limited to: </w:t>
      </w:r>
    </w:p>
    <w:p w14:paraId="6CE10F8E" w14:textId="77777777" w:rsidR="00D4522C" w:rsidRPr="00D4522C" w:rsidRDefault="00D4522C" w:rsidP="00D4522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val="en"/>
        </w:rPr>
      </w:pP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>Authorship or co-authorship of peer-reviewed published materials such as journal articles, abstracts, monographs, books, book chapters, cases, artistic works, software, or other professional and technical documents;</w:t>
      </w:r>
    </w:p>
    <w:p w14:paraId="6CE10F8F" w14:textId="3FEFA1F7" w:rsidR="00D4522C" w:rsidRPr="00D4522C" w:rsidRDefault="00D4522C" w:rsidP="00D4522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val="en"/>
        </w:rPr>
      </w:pP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>Authorship or co-authorship of published materials such as editorially reviewed books, articles, abstracts, translations, software, artistic works or other professional and technical documents;</w:t>
      </w:r>
    </w:p>
    <w:p w14:paraId="6CE10F90" w14:textId="77777777" w:rsidR="00D4522C" w:rsidRPr="00094600" w:rsidRDefault="00D4522C" w:rsidP="00D4522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val="en"/>
        </w:rPr>
      </w:pPr>
      <w:r w:rsidRPr="00094600">
        <w:rPr>
          <w:rFonts w:eastAsia="Times New Roman" w:cstheme="minorHAnsi"/>
          <w:color w:val="333333"/>
          <w:sz w:val="19"/>
          <w:szCs w:val="19"/>
          <w:lang w:val="en"/>
        </w:rPr>
        <w:t>Production and presentation of radio and television works, films and videos related to the scholarly or creative discipline;</w:t>
      </w:r>
    </w:p>
    <w:p w14:paraId="6CE10F91" w14:textId="77777777" w:rsidR="00094600" w:rsidRPr="00094600" w:rsidRDefault="00094600" w:rsidP="00D4522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val="en"/>
        </w:rPr>
      </w:pPr>
      <w:r w:rsidRPr="00094600">
        <w:rPr>
          <w:rFonts w:eastAsia="Times New Roman"/>
          <w:sz w:val="19"/>
          <w:szCs w:val="19"/>
        </w:rPr>
        <w:t>Serving as an editor or editorial board member of a journal that is exclusively or joi</w:t>
      </w:r>
      <w:r>
        <w:rPr>
          <w:rFonts w:eastAsia="Times New Roman"/>
          <w:sz w:val="19"/>
          <w:szCs w:val="19"/>
        </w:rPr>
        <w:t>ntly housed within the College;</w:t>
      </w:r>
    </w:p>
    <w:p w14:paraId="6CE10F92" w14:textId="77777777" w:rsidR="00D4522C" w:rsidRPr="00D4522C" w:rsidRDefault="00D4522C" w:rsidP="00D4522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val="en"/>
        </w:rPr>
      </w:pP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>Presentations and papers delivered at local, regional, national and international meetings;</w:t>
      </w:r>
    </w:p>
    <w:p w14:paraId="6CE10F93" w14:textId="77777777" w:rsidR="00D4522C" w:rsidRPr="00D4522C" w:rsidRDefault="00D4522C" w:rsidP="00D4522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val="en"/>
        </w:rPr>
      </w:pP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>Performances, exhibitions, and other creative activities locally, regionally, nationally and internationally;</w:t>
      </w:r>
    </w:p>
    <w:p w14:paraId="6CE10F94" w14:textId="77777777" w:rsidR="00D4522C" w:rsidRPr="00D4522C" w:rsidRDefault="00D4522C" w:rsidP="00D4522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val="en"/>
        </w:rPr>
      </w:pP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>Obtaining competitive external or internal grants related to scholarly and creative productivity;</w:t>
      </w:r>
    </w:p>
    <w:p w14:paraId="6CE10F95" w14:textId="77777777" w:rsidR="00D4522C" w:rsidRPr="00D4522C" w:rsidRDefault="00D4522C" w:rsidP="00D4522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val="en"/>
        </w:rPr>
      </w:pP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>Writing and submitting proposals for competitive grants, internal or external, related to scholarly and creative productivity;</w:t>
      </w:r>
    </w:p>
    <w:p w14:paraId="6CE10F96" w14:textId="77777777" w:rsidR="00D4522C" w:rsidRPr="00D4522C" w:rsidRDefault="00D4522C" w:rsidP="00D4522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val="en"/>
        </w:rPr>
      </w:pP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>Writing and submitting required grant and contract reports;</w:t>
      </w:r>
    </w:p>
    <w:p w14:paraId="6CE10F97" w14:textId="77777777" w:rsidR="00D4522C" w:rsidRPr="00D4522C" w:rsidRDefault="00D4522C" w:rsidP="00D4522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val="en"/>
        </w:rPr>
      </w:pP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>Receiving internal or external awards obtained for scholarly or creative productivity;</w:t>
      </w:r>
    </w:p>
    <w:p w14:paraId="6CE10F98" w14:textId="5D369B67" w:rsidR="00D4522C" w:rsidRPr="00D4522C" w:rsidRDefault="00D4522C" w:rsidP="00D4522C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val="en"/>
        </w:rPr>
      </w:pP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>Providing evidence that scholarly or creative works have been submitted for review</w:t>
      </w:r>
      <w:r w:rsidR="008106D4">
        <w:rPr>
          <w:rFonts w:eastAsia="Times New Roman" w:cstheme="minorHAnsi"/>
          <w:color w:val="333333"/>
          <w:sz w:val="19"/>
          <w:szCs w:val="19"/>
          <w:lang w:val="en"/>
        </w:rPr>
        <w:t xml:space="preserve"> (e.g., peer-reviewed journals</w:t>
      </w: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>;</w:t>
      </w:r>
      <w:r w:rsidR="008106D4">
        <w:rPr>
          <w:rFonts w:eastAsia="Times New Roman" w:cstheme="minorHAnsi"/>
          <w:color w:val="333333"/>
          <w:sz w:val="19"/>
          <w:szCs w:val="19"/>
          <w:lang w:val="en"/>
        </w:rPr>
        <w:t xml:space="preserve"> practitioner-focused publications such as </w:t>
      </w:r>
      <w:r w:rsidR="008106D4">
        <w:rPr>
          <w:rFonts w:eastAsia="Times New Roman" w:cstheme="minorHAnsi"/>
          <w:i/>
          <w:color w:val="333333"/>
          <w:sz w:val="19"/>
          <w:szCs w:val="19"/>
          <w:lang w:val="en"/>
        </w:rPr>
        <w:t>Science and Children, Teaching Exceptional Children</w:t>
      </w:r>
      <w:r w:rsidR="008106D4">
        <w:rPr>
          <w:rFonts w:eastAsia="Times New Roman" w:cstheme="minorHAnsi"/>
          <w:color w:val="333333"/>
          <w:sz w:val="19"/>
          <w:szCs w:val="19"/>
          <w:lang w:val="en"/>
        </w:rPr>
        <w:t>)</w:t>
      </w:r>
    </w:p>
    <w:p w14:paraId="6CE10F99" w14:textId="27CB9C7D" w:rsidR="00665BCF" w:rsidRDefault="00D4522C" w:rsidP="00521E06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19"/>
          <w:szCs w:val="19"/>
          <w:lang w:val="en"/>
        </w:rPr>
      </w:pPr>
      <w:r w:rsidRPr="00D4522C">
        <w:rPr>
          <w:rFonts w:eastAsia="Times New Roman" w:cstheme="minorHAnsi"/>
          <w:color w:val="333333"/>
          <w:sz w:val="19"/>
          <w:szCs w:val="19"/>
          <w:lang w:val="en"/>
        </w:rPr>
        <w:t>Documenting scholarly or creative works in progress.</w:t>
      </w:r>
    </w:p>
    <w:sectPr w:rsidR="0066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544A6"/>
    <w:multiLevelType w:val="multilevel"/>
    <w:tmpl w:val="A77CA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3ABA8D4-369F-4A29-A692-DF11A4EA4488}"/>
    <w:docVar w:name="dgnword-eventsink" w:val="409292736"/>
  </w:docVars>
  <w:rsids>
    <w:rsidRoot w:val="00D4522C"/>
    <w:rsid w:val="00094600"/>
    <w:rsid w:val="0010206E"/>
    <w:rsid w:val="001B058D"/>
    <w:rsid w:val="00276F93"/>
    <w:rsid w:val="0029559D"/>
    <w:rsid w:val="00380C25"/>
    <w:rsid w:val="00521E06"/>
    <w:rsid w:val="00665BCF"/>
    <w:rsid w:val="006B70BC"/>
    <w:rsid w:val="007A227B"/>
    <w:rsid w:val="008106D4"/>
    <w:rsid w:val="0082635B"/>
    <w:rsid w:val="008529F0"/>
    <w:rsid w:val="00973CE3"/>
    <w:rsid w:val="00986D64"/>
    <w:rsid w:val="00B972C2"/>
    <w:rsid w:val="00D4522C"/>
    <w:rsid w:val="00D73DD0"/>
    <w:rsid w:val="00DD3B08"/>
    <w:rsid w:val="00DE3F7E"/>
    <w:rsid w:val="00F6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0F87"/>
  <w15:chartTrackingRefBased/>
  <w15:docId w15:val="{1CD1B6AB-F7F2-453C-A3D5-00855235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3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9F60-216C-4438-BEAB-4F359DCC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Aloia</dc:creator>
  <cp:keywords/>
  <dc:description/>
  <cp:lastModifiedBy>Jennifer Tucker</cp:lastModifiedBy>
  <cp:revision>2</cp:revision>
  <dcterms:created xsi:type="dcterms:W3CDTF">2020-01-10T16:21:00Z</dcterms:created>
  <dcterms:modified xsi:type="dcterms:W3CDTF">2020-01-10T16:21:00Z</dcterms:modified>
</cp:coreProperties>
</file>