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F3" w:rsidRPr="00E337AA" w:rsidRDefault="00093BF3" w:rsidP="00093BF3">
      <w:pPr>
        <w:jc w:val="center"/>
        <w:rPr>
          <w:rFonts w:ascii="Arial Narrow" w:hAnsi="Arial Narrow"/>
          <w:bCs/>
        </w:rPr>
      </w:pPr>
      <w:bookmarkStart w:id="0" w:name="_GoBack"/>
      <w:bookmarkEnd w:id="0"/>
      <w:r w:rsidRPr="00446D13">
        <w:rPr>
          <w:rFonts w:ascii="Arial Narrow" w:hAnsi="Arial Narrow"/>
          <w:b/>
          <w:bCs/>
          <w:sz w:val="28"/>
          <w:szCs w:val="28"/>
        </w:rPr>
        <w:t>Self</w:t>
      </w:r>
      <w:r>
        <w:rPr>
          <w:rFonts w:ascii="Arial Narrow" w:hAnsi="Arial Narrow"/>
          <w:b/>
          <w:bCs/>
          <w:sz w:val="28"/>
          <w:szCs w:val="28"/>
        </w:rPr>
        <w:t>-</w:t>
      </w:r>
      <w:r w:rsidRPr="00446D13">
        <w:rPr>
          <w:rFonts w:ascii="Arial Narrow" w:hAnsi="Arial Narrow"/>
          <w:b/>
          <w:bCs/>
          <w:sz w:val="28"/>
          <w:szCs w:val="28"/>
        </w:rPr>
        <w:t>Supporting</w:t>
      </w:r>
      <w:r w:rsidRPr="009970D0">
        <w:t xml:space="preserve"> </w:t>
      </w:r>
      <w:r w:rsidRPr="00446D13">
        <w:rPr>
          <w:rFonts w:ascii="Arial Narrow" w:hAnsi="Arial Narrow"/>
          <w:b/>
          <w:bCs/>
          <w:sz w:val="28"/>
          <w:szCs w:val="28"/>
        </w:rPr>
        <w:t>Summer</w:t>
      </w:r>
      <w:r>
        <w:rPr>
          <w:rFonts w:ascii="Arial Narrow" w:hAnsi="Arial Narrow"/>
          <w:b/>
          <w:bCs/>
          <w:sz w:val="28"/>
          <w:szCs w:val="28"/>
        </w:rPr>
        <w:t>-</w:t>
      </w:r>
      <w:r w:rsidRPr="00446D13">
        <w:rPr>
          <w:rFonts w:ascii="Arial Narrow" w:hAnsi="Arial Narrow"/>
          <w:b/>
          <w:bCs/>
          <w:sz w:val="28"/>
          <w:szCs w:val="28"/>
        </w:rPr>
        <w:t>Only</w:t>
      </w:r>
      <w:r w:rsidRPr="009970D0">
        <w:t xml:space="preserve"> </w:t>
      </w:r>
      <w:r w:rsidRPr="00446D13">
        <w:rPr>
          <w:rFonts w:ascii="Arial Narrow" w:hAnsi="Arial Narrow"/>
          <w:b/>
          <w:bCs/>
          <w:sz w:val="28"/>
          <w:szCs w:val="28"/>
        </w:rPr>
        <w:t>Course</w:t>
      </w:r>
    </w:p>
    <w:p w:rsidR="00093BF3" w:rsidRDefault="00093BF3" w:rsidP="00093BF3">
      <w:pPr>
        <w:spacing w:line="204" w:lineRule="auto"/>
        <w:jc w:val="center"/>
        <w:rPr>
          <w:rFonts w:ascii="Arial Narrow" w:hAnsi="Arial Narrow"/>
          <w:b/>
          <w:bCs/>
          <w:sz w:val="28"/>
          <w:szCs w:val="28"/>
        </w:rPr>
      </w:pPr>
      <w:r w:rsidRPr="009970D0">
        <w:rPr>
          <w:rFonts w:ascii="Arial Narrow" w:hAnsi="Arial Narrow"/>
          <w:b/>
          <w:bCs/>
          <w:sz w:val="28"/>
          <w:szCs w:val="28"/>
        </w:rPr>
        <w:t xml:space="preserve">Summer </w:t>
      </w:r>
      <w:r w:rsidR="00626EFE">
        <w:rPr>
          <w:rFonts w:ascii="Arial Narrow" w:hAnsi="Arial Narrow"/>
          <w:b/>
          <w:bCs/>
          <w:sz w:val="28"/>
          <w:szCs w:val="28"/>
        </w:rPr>
        <w:t>Sessions 2013</w:t>
      </w:r>
    </w:p>
    <w:p w:rsidR="00093BF3" w:rsidRPr="009970D0" w:rsidRDefault="00093BF3" w:rsidP="00093BF3">
      <w:pPr>
        <w:spacing w:line="204" w:lineRule="auto"/>
        <w:jc w:val="center"/>
        <w:rPr>
          <w:rFonts w:ascii="Arial Narrow" w:hAnsi="Arial Narrow"/>
          <w:b/>
          <w:bCs/>
          <w:sz w:val="28"/>
          <w:szCs w:val="28"/>
        </w:rPr>
      </w:pPr>
    </w:p>
    <w:p w:rsidR="00093BF3" w:rsidRPr="009970D0" w:rsidRDefault="00093BF3" w:rsidP="00093BF3">
      <w:pPr>
        <w:spacing w:line="204" w:lineRule="auto"/>
        <w:jc w:val="center"/>
        <w:rPr>
          <w:rFonts w:ascii="Arial Narrow" w:hAnsi="Arial Narrow"/>
          <w:b/>
          <w:bCs/>
          <w:sz w:val="28"/>
          <w:szCs w:val="28"/>
        </w:rPr>
      </w:pPr>
      <w:r>
        <w:rPr>
          <w:rFonts w:ascii="Arial Narrow" w:hAnsi="Arial Narrow"/>
          <w:b/>
          <w:bCs/>
          <w:sz w:val="28"/>
          <w:szCs w:val="28"/>
        </w:rPr>
        <w:t>Definitions, Eligibility Requirements, and Other Important Information</w:t>
      </w:r>
    </w:p>
    <w:p w:rsidR="00093BF3" w:rsidRPr="009970D0" w:rsidRDefault="00093BF3" w:rsidP="00093BF3">
      <w:pPr>
        <w:spacing w:line="204" w:lineRule="auto"/>
        <w:jc w:val="center"/>
        <w:rPr>
          <w:rFonts w:ascii="Arial Narrow" w:hAnsi="Arial Narrow"/>
          <w:b/>
          <w:bCs/>
          <w:sz w:val="28"/>
          <w:szCs w:val="28"/>
        </w:rPr>
      </w:pPr>
    </w:p>
    <w:p w:rsidR="00093BF3" w:rsidRDefault="00093BF3" w:rsidP="00093BF3">
      <w:pPr>
        <w:spacing w:line="204" w:lineRule="auto"/>
        <w:jc w:val="center"/>
        <w:rPr>
          <w:b/>
          <w:bCs/>
        </w:rPr>
      </w:pPr>
    </w:p>
    <w:p w:rsidR="00B47E2E" w:rsidRDefault="00093BF3" w:rsidP="00093BF3">
      <w:pPr>
        <w:spacing w:line="204" w:lineRule="auto"/>
        <w:rPr>
          <w:rFonts w:ascii="Arial Narrow" w:hAnsi="Arial Narrow"/>
        </w:rPr>
      </w:pPr>
      <w:r w:rsidRPr="009970D0">
        <w:rPr>
          <w:rFonts w:ascii="Arial Narrow" w:hAnsi="Arial Narrow"/>
          <w:b/>
          <w:bCs/>
        </w:rPr>
        <w:t>SELF-SUPPORTING “SUMMER-ONLY” COURSE</w:t>
      </w:r>
      <w:r w:rsidRPr="009970D0">
        <w:rPr>
          <w:rFonts w:ascii="Arial Narrow" w:hAnsi="Arial Narrow"/>
        </w:rPr>
        <w:t xml:space="preserve">: The fee-based special topics course must carry a course number (1956, 2956, 3956, 4956, 5956, or 6956) designating “summer only.” </w:t>
      </w:r>
      <w:r w:rsidR="00770976">
        <w:rPr>
          <w:rFonts w:ascii="Arial Narrow" w:hAnsi="Arial Narrow"/>
        </w:rPr>
        <w:t xml:space="preserve"> Courses listed as 4956 must also be dual-listed with a 5956 course number.</w:t>
      </w:r>
      <w:r w:rsidRPr="009970D0">
        <w:rPr>
          <w:rFonts w:ascii="Arial Narrow" w:hAnsi="Arial Narrow"/>
        </w:rPr>
        <w:t xml:space="preserve"> The course will be entered into the ETSU course inventory as experimental for </w:t>
      </w:r>
      <w:proofErr w:type="gramStart"/>
      <w:r w:rsidRPr="009970D0">
        <w:rPr>
          <w:rFonts w:ascii="Arial Narrow" w:hAnsi="Arial Narrow"/>
        </w:rPr>
        <w:t>Summer</w:t>
      </w:r>
      <w:proofErr w:type="gramEnd"/>
      <w:r w:rsidRPr="009970D0">
        <w:rPr>
          <w:rFonts w:ascii="Arial Narrow" w:hAnsi="Arial Narrow"/>
        </w:rPr>
        <w:t xml:space="preserve"> </w:t>
      </w:r>
      <w:r>
        <w:rPr>
          <w:rFonts w:ascii="Arial Narrow" w:hAnsi="Arial Narrow"/>
        </w:rPr>
        <w:t>20</w:t>
      </w:r>
      <w:r w:rsidR="008C4E66">
        <w:rPr>
          <w:rFonts w:ascii="Arial Narrow" w:hAnsi="Arial Narrow"/>
        </w:rPr>
        <w:t>1</w:t>
      </w:r>
      <w:r w:rsidR="00626EFE">
        <w:rPr>
          <w:rFonts w:ascii="Arial Narrow" w:hAnsi="Arial Narrow"/>
        </w:rPr>
        <w:t>3</w:t>
      </w:r>
      <w:r w:rsidRPr="009970D0">
        <w:rPr>
          <w:rFonts w:ascii="Arial Narrow" w:hAnsi="Arial Narrow"/>
        </w:rPr>
        <w:t xml:space="preserve">.  The course must not duplicate a permanent ETSU course (offered by your department or by other departments) in content or purpose.  </w:t>
      </w:r>
    </w:p>
    <w:p w:rsidR="00B47E2E" w:rsidRDefault="00B47E2E" w:rsidP="00093BF3">
      <w:pPr>
        <w:spacing w:line="204" w:lineRule="auto"/>
        <w:rPr>
          <w:rFonts w:ascii="Arial Narrow" w:hAnsi="Arial Narrow"/>
        </w:rPr>
      </w:pPr>
    </w:p>
    <w:p w:rsidR="00093BF3" w:rsidRPr="009970D0" w:rsidRDefault="00093BF3" w:rsidP="00093BF3">
      <w:pPr>
        <w:spacing w:line="204" w:lineRule="auto"/>
        <w:rPr>
          <w:rFonts w:ascii="Arial Narrow" w:hAnsi="Arial Narrow"/>
        </w:rPr>
      </w:pPr>
      <w:r w:rsidRPr="009970D0">
        <w:rPr>
          <w:rFonts w:ascii="Arial Narrow" w:hAnsi="Arial Narrow"/>
        </w:rPr>
        <w:t>The opportunity to develop such a course invites innovation and creativity regarding the enrichment of the Summer Program.  The course should be designed to appeal to specific audiences, attract new students, and should open new markets for programming sponsored by the department.</w:t>
      </w:r>
    </w:p>
    <w:p w:rsidR="00093BF3" w:rsidRPr="009970D0" w:rsidRDefault="00093BF3" w:rsidP="00093BF3">
      <w:pPr>
        <w:spacing w:line="204" w:lineRule="auto"/>
        <w:rPr>
          <w:rFonts w:ascii="Arial Narrow" w:hAnsi="Arial Narrow"/>
        </w:rPr>
      </w:pPr>
    </w:p>
    <w:p w:rsidR="00093BF3" w:rsidRPr="009970D0" w:rsidRDefault="00093BF3" w:rsidP="00093BF3">
      <w:pPr>
        <w:spacing w:line="204" w:lineRule="auto"/>
        <w:rPr>
          <w:rFonts w:ascii="Arial Narrow" w:hAnsi="Arial Narrow"/>
        </w:rPr>
      </w:pPr>
      <w:r w:rsidRPr="009970D0">
        <w:rPr>
          <w:rFonts w:ascii="Arial Narrow" w:hAnsi="Arial Narrow"/>
          <w:b/>
          <w:bCs/>
        </w:rPr>
        <w:t>COURSE ELIGIBILITY REQUIREMENTS</w:t>
      </w:r>
      <w:r w:rsidRPr="009970D0">
        <w:rPr>
          <w:rFonts w:ascii="Arial Narrow" w:hAnsi="Arial Narrow"/>
        </w:rPr>
        <w:t xml:space="preserve">: To be eligible as a self-supporting fee-based course, the course must meet the </w:t>
      </w:r>
      <w:r>
        <w:rPr>
          <w:rFonts w:ascii="Arial Narrow" w:hAnsi="Arial Narrow"/>
        </w:rPr>
        <w:t xml:space="preserve">definition outlined above as well as the </w:t>
      </w:r>
      <w:r w:rsidRPr="009970D0">
        <w:rPr>
          <w:rFonts w:ascii="Arial Narrow" w:hAnsi="Arial Narrow"/>
        </w:rPr>
        <w:t>following eligibility requirements:</w:t>
      </w:r>
    </w:p>
    <w:p w:rsidR="00093BF3" w:rsidRPr="009970D0" w:rsidRDefault="00093BF3" w:rsidP="00093BF3">
      <w:pPr>
        <w:spacing w:line="204" w:lineRule="auto"/>
        <w:rPr>
          <w:rFonts w:ascii="Arial Narrow" w:hAnsi="Arial Narrow"/>
        </w:rPr>
      </w:pPr>
    </w:p>
    <w:p w:rsidR="00093BF3" w:rsidRPr="009970D0" w:rsidRDefault="00093BF3" w:rsidP="00093BF3">
      <w:pPr>
        <w:numPr>
          <w:ilvl w:val="0"/>
          <w:numId w:val="1"/>
        </w:numPr>
        <w:spacing w:line="204" w:lineRule="auto"/>
        <w:rPr>
          <w:rFonts w:ascii="Arial Narrow" w:hAnsi="Arial Narrow"/>
          <w:shd w:val="clear" w:color="auto" w:fill="D9D9D9"/>
        </w:rPr>
      </w:pPr>
      <w:r w:rsidRPr="009970D0">
        <w:rPr>
          <w:rFonts w:ascii="Arial Narrow" w:hAnsi="Arial Narrow"/>
        </w:rPr>
        <w:t>All department and ETSU curriculum standards must be addressed</w:t>
      </w:r>
    </w:p>
    <w:p w:rsidR="00093BF3" w:rsidRPr="009970D0" w:rsidRDefault="00093BF3" w:rsidP="00093BF3">
      <w:pPr>
        <w:spacing w:line="204" w:lineRule="auto"/>
        <w:ind w:left="360"/>
        <w:rPr>
          <w:rFonts w:ascii="Arial Narrow" w:hAnsi="Arial Narrow"/>
          <w:shd w:val="clear" w:color="auto" w:fill="D9D9D9"/>
        </w:rPr>
      </w:pPr>
    </w:p>
    <w:p w:rsidR="00093BF3" w:rsidRPr="009970D0" w:rsidRDefault="00093BF3" w:rsidP="00093BF3">
      <w:pPr>
        <w:numPr>
          <w:ilvl w:val="0"/>
          <w:numId w:val="1"/>
        </w:numPr>
        <w:spacing w:line="204" w:lineRule="auto"/>
        <w:rPr>
          <w:rFonts w:ascii="Arial Narrow" w:hAnsi="Arial Narrow"/>
        </w:rPr>
      </w:pPr>
      <w:r w:rsidRPr="009970D0">
        <w:rPr>
          <w:rFonts w:ascii="Arial Narrow" w:hAnsi="Arial Narrow"/>
        </w:rPr>
        <w:t>Courses must meet bona</w:t>
      </w:r>
      <w:r>
        <w:rPr>
          <w:rFonts w:ascii="Arial Narrow" w:hAnsi="Arial Narrow"/>
        </w:rPr>
        <w:t xml:space="preserve"> </w:t>
      </w:r>
      <w:r w:rsidRPr="009970D0">
        <w:rPr>
          <w:rFonts w:ascii="Arial Narrow" w:hAnsi="Arial Narrow"/>
        </w:rPr>
        <w:t>fide standards</w:t>
      </w:r>
      <w:r>
        <w:rPr>
          <w:rFonts w:ascii="Arial Narrow" w:hAnsi="Arial Narrow"/>
        </w:rPr>
        <w:t>,</w:t>
      </w:r>
      <w:r w:rsidRPr="009970D0">
        <w:rPr>
          <w:rFonts w:ascii="Arial Narrow" w:hAnsi="Arial Narrow"/>
        </w:rPr>
        <w:t xml:space="preserve"> (i.e., TBR, SACS, and program accreditation standards and usual standards of good practice).  The TBR Guideline A-090 requires 750 minutes of classroom instruction per semester hour of credit</w:t>
      </w:r>
      <w:r>
        <w:rPr>
          <w:rFonts w:ascii="Arial Narrow" w:hAnsi="Arial Narrow"/>
        </w:rPr>
        <w:t>,</w:t>
      </w:r>
      <w:r w:rsidRPr="009970D0">
        <w:rPr>
          <w:rFonts w:ascii="Arial Narrow" w:hAnsi="Arial Narrow"/>
        </w:rPr>
        <w:t xml:space="preserve"> (excluding final examinations).  The SACS Criteria for Accreditation require that all courses offered for credit “must be acceptable as requirements or electives applicable to at least one of </w:t>
      </w:r>
      <w:r w:rsidRPr="009970D0">
        <w:rPr>
          <w:rFonts w:ascii="Arial Narrow" w:eastAsia="Arial Unicode MS" w:hAnsi="Arial Narrow" w:cs="Arial Unicode MS"/>
        </w:rPr>
        <w:t>[</w:t>
      </w:r>
      <w:r w:rsidRPr="009970D0">
        <w:rPr>
          <w:rFonts w:ascii="Arial Narrow" w:hAnsi="Arial Narrow"/>
        </w:rPr>
        <w:t>the institution’s] own degree or certificate programs.”  Further, SACS criteria require that “courses offered in non-traditional formats, e.g., concentrated or abbreviated time periods, must be designed to ensure an opportunity for preparation, reflection, and analysis concerning the subject matter.  At least one calendar week of reflection and analysis should be provided to students for each semester hour…of undergraduate [and graduate] credit awarded.”</w:t>
      </w:r>
    </w:p>
    <w:p w:rsidR="00093BF3" w:rsidRPr="009970D0" w:rsidRDefault="00093BF3" w:rsidP="00093BF3">
      <w:pPr>
        <w:spacing w:line="204" w:lineRule="auto"/>
        <w:rPr>
          <w:rFonts w:ascii="Arial Narrow" w:hAnsi="Arial Narrow"/>
        </w:rPr>
      </w:pPr>
    </w:p>
    <w:p w:rsidR="00093BF3" w:rsidRPr="009970D0" w:rsidRDefault="00093BF3" w:rsidP="00093BF3">
      <w:pPr>
        <w:numPr>
          <w:ilvl w:val="0"/>
          <w:numId w:val="1"/>
        </w:numPr>
        <w:spacing w:line="204" w:lineRule="auto"/>
        <w:rPr>
          <w:rFonts w:ascii="Arial Narrow" w:hAnsi="Arial Narrow"/>
        </w:rPr>
      </w:pPr>
      <w:r w:rsidRPr="009970D0">
        <w:rPr>
          <w:rFonts w:ascii="Arial Narrow" w:hAnsi="Arial Narrow"/>
        </w:rPr>
        <w:t>The course may carry 1-4 credit hours.</w:t>
      </w:r>
    </w:p>
    <w:p w:rsidR="00093BF3" w:rsidRPr="009970D0" w:rsidRDefault="00093BF3" w:rsidP="00093BF3">
      <w:pPr>
        <w:spacing w:line="204" w:lineRule="auto"/>
        <w:rPr>
          <w:rFonts w:ascii="Arial Narrow" w:hAnsi="Arial Narrow"/>
        </w:rPr>
      </w:pPr>
    </w:p>
    <w:p w:rsidR="00093BF3" w:rsidRPr="009970D0" w:rsidRDefault="00093BF3" w:rsidP="00093BF3">
      <w:pPr>
        <w:numPr>
          <w:ilvl w:val="0"/>
          <w:numId w:val="1"/>
        </w:numPr>
        <w:spacing w:line="204" w:lineRule="auto"/>
        <w:rPr>
          <w:rFonts w:ascii="Arial Narrow" w:hAnsi="Arial Narrow"/>
        </w:rPr>
      </w:pPr>
      <w:r w:rsidRPr="009970D0">
        <w:rPr>
          <w:rFonts w:ascii="Arial Narrow" w:hAnsi="Arial Narrow"/>
        </w:rPr>
        <w:t>The course may be interdisciplinary.</w:t>
      </w:r>
    </w:p>
    <w:p w:rsidR="00093BF3" w:rsidRPr="009970D0" w:rsidRDefault="00093BF3" w:rsidP="00093BF3">
      <w:pPr>
        <w:spacing w:line="204" w:lineRule="auto"/>
        <w:rPr>
          <w:rFonts w:ascii="Arial Narrow" w:hAnsi="Arial Narrow"/>
        </w:rPr>
      </w:pPr>
    </w:p>
    <w:p w:rsidR="00093BF3" w:rsidRPr="009970D0" w:rsidRDefault="00093BF3" w:rsidP="00093BF3">
      <w:pPr>
        <w:numPr>
          <w:ilvl w:val="0"/>
          <w:numId w:val="1"/>
        </w:numPr>
        <w:spacing w:line="204" w:lineRule="auto"/>
        <w:rPr>
          <w:rFonts w:ascii="Arial Narrow" w:hAnsi="Arial Narrow"/>
        </w:rPr>
      </w:pPr>
      <w:r w:rsidRPr="009970D0">
        <w:rPr>
          <w:rFonts w:ascii="Arial Narrow" w:hAnsi="Arial Narrow"/>
        </w:rPr>
        <w:t>Standard</w:t>
      </w:r>
      <w:r>
        <w:rPr>
          <w:rFonts w:ascii="Arial Narrow" w:hAnsi="Arial Narrow"/>
        </w:rPr>
        <w:t>,</w:t>
      </w:r>
      <w:r w:rsidRPr="009970D0">
        <w:rPr>
          <w:rFonts w:ascii="Arial Narrow" w:hAnsi="Arial Narrow"/>
        </w:rPr>
        <w:t xml:space="preserve"> (TBR cost study guidelines) faculty load calculations for instructional hours assigned, team-taught, and cross-listed courses will apply in compensation.  The maintenance fees generated by student enrollment in the course must offset the faculty member’s salary plus </w:t>
      </w:r>
      <w:r>
        <w:rPr>
          <w:rFonts w:ascii="Arial Narrow" w:hAnsi="Arial Narrow"/>
        </w:rPr>
        <w:t>20</w:t>
      </w:r>
      <w:r w:rsidRPr="009970D0">
        <w:rPr>
          <w:rFonts w:ascii="Arial Narrow" w:hAnsi="Arial Narrow"/>
        </w:rPr>
        <w:t xml:space="preserve">% benefits in order for the faculty member to receive full salary.  </w:t>
      </w:r>
      <w:r w:rsidRPr="000C1BC3">
        <w:rPr>
          <w:rFonts w:ascii="Arial Narrow" w:hAnsi="Arial Narrow"/>
          <w:b/>
          <w:i/>
          <w:highlight w:val="yellow"/>
        </w:rPr>
        <w:t>Faculty members may receive a reduced salary when enrollment does not warrant full salary.</w:t>
      </w:r>
    </w:p>
    <w:p w:rsidR="00093BF3" w:rsidRPr="009970D0" w:rsidRDefault="00093BF3" w:rsidP="00093BF3">
      <w:pPr>
        <w:spacing w:line="204" w:lineRule="auto"/>
        <w:rPr>
          <w:rFonts w:ascii="Arial Narrow" w:hAnsi="Arial Narrow"/>
        </w:rPr>
      </w:pPr>
    </w:p>
    <w:p w:rsidR="00093BF3" w:rsidRPr="009970D0" w:rsidRDefault="00093BF3" w:rsidP="00093BF3">
      <w:pPr>
        <w:numPr>
          <w:ilvl w:val="0"/>
          <w:numId w:val="1"/>
        </w:numPr>
        <w:spacing w:line="204" w:lineRule="auto"/>
        <w:rPr>
          <w:rFonts w:ascii="Arial Narrow" w:hAnsi="Arial Narrow"/>
        </w:rPr>
      </w:pPr>
      <w:r w:rsidRPr="009970D0">
        <w:rPr>
          <w:rFonts w:ascii="Arial Narrow" w:hAnsi="Arial Narrow"/>
        </w:rPr>
        <w:t xml:space="preserve">The course may be delivered via distance technologies including Internet delivery, if these delivery methods, sites, and times are approved by the Office of </w:t>
      </w:r>
      <w:r w:rsidR="00310AE1">
        <w:rPr>
          <w:rFonts w:ascii="Arial Narrow" w:hAnsi="Arial Narrow"/>
        </w:rPr>
        <w:t xml:space="preserve">E-Learning and </w:t>
      </w:r>
      <w:r w:rsidR="00857F51">
        <w:rPr>
          <w:rFonts w:ascii="Arial Narrow" w:hAnsi="Arial Narrow"/>
        </w:rPr>
        <w:t>Online</w:t>
      </w:r>
      <w:r w:rsidRPr="009970D0">
        <w:rPr>
          <w:rFonts w:ascii="Arial Narrow" w:hAnsi="Arial Narrow"/>
        </w:rPr>
        <w:t xml:space="preserve"> Education.</w:t>
      </w:r>
    </w:p>
    <w:p w:rsidR="00093BF3" w:rsidRPr="009970D0" w:rsidRDefault="00093BF3" w:rsidP="00093BF3">
      <w:pPr>
        <w:spacing w:line="204" w:lineRule="auto"/>
        <w:rPr>
          <w:rFonts w:ascii="Arial Narrow" w:hAnsi="Arial Narrow"/>
        </w:rPr>
      </w:pPr>
    </w:p>
    <w:p w:rsidR="00093BF3" w:rsidRPr="009970D0" w:rsidRDefault="00093BF3" w:rsidP="00093BF3">
      <w:pPr>
        <w:numPr>
          <w:ilvl w:val="0"/>
          <w:numId w:val="1"/>
        </w:numPr>
        <w:spacing w:line="204" w:lineRule="auto"/>
        <w:rPr>
          <w:rFonts w:ascii="Arial Narrow" w:hAnsi="Arial Narrow"/>
        </w:rPr>
      </w:pPr>
      <w:r w:rsidRPr="009970D0">
        <w:rPr>
          <w:rFonts w:ascii="Arial Narrow" w:hAnsi="Arial Narrow"/>
        </w:rPr>
        <w:t>Any costs associated with the course outside of marketing and instruction must be supported through the department and college.</w:t>
      </w:r>
    </w:p>
    <w:p w:rsidR="00093BF3" w:rsidRPr="009970D0" w:rsidRDefault="00093BF3" w:rsidP="00093BF3">
      <w:pPr>
        <w:spacing w:line="204" w:lineRule="auto"/>
        <w:rPr>
          <w:rFonts w:ascii="Arial Narrow" w:hAnsi="Arial Narrow"/>
        </w:rPr>
      </w:pPr>
    </w:p>
    <w:p w:rsidR="00093BF3" w:rsidRDefault="00093BF3" w:rsidP="00093BF3">
      <w:pPr>
        <w:numPr>
          <w:ilvl w:val="0"/>
          <w:numId w:val="1"/>
        </w:numPr>
        <w:spacing w:line="204" w:lineRule="auto"/>
        <w:rPr>
          <w:rFonts w:ascii="Arial Narrow" w:hAnsi="Arial Narrow"/>
        </w:rPr>
      </w:pPr>
      <w:r w:rsidRPr="009970D0">
        <w:rPr>
          <w:rFonts w:ascii="Arial Narrow" w:hAnsi="Arial Narrow"/>
        </w:rPr>
        <w:t xml:space="preserve">The course must start on one of the Summer School session dates (i.e., pre-summer, complete, dual, first term, second term), though it may conclude before the session end date if the TBR and SACS instructional standards regarding duration of instruction are met.  The Summer Advisory Committee is responsible for ensuring a reasonable distribution of classes across summer </w:t>
      </w:r>
      <w:r w:rsidRPr="00CC5354">
        <w:rPr>
          <w:rFonts w:ascii="Arial Narrow" w:hAnsi="Arial Narrow"/>
        </w:rPr>
        <w:t>sessions and may require that classes be shifted to a session other than that proposed.</w:t>
      </w:r>
    </w:p>
    <w:p w:rsidR="0071589D" w:rsidRDefault="0071589D" w:rsidP="00093BF3">
      <w:pPr>
        <w:spacing w:line="18" w:lineRule="atLeast"/>
        <w:ind w:left="360"/>
        <w:rPr>
          <w:rFonts w:ascii="Arial Narrow" w:hAnsi="Arial Narrow"/>
          <w:b/>
        </w:rPr>
      </w:pPr>
    </w:p>
    <w:p w:rsidR="0071589D" w:rsidRDefault="00F4467C" w:rsidP="00093BF3">
      <w:pPr>
        <w:spacing w:line="18" w:lineRule="atLeast"/>
        <w:ind w:left="360"/>
        <w:rPr>
          <w:rFonts w:ascii="Arial Narrow" w:hAnsi="Arial Narrow"/>
          <w:b/>
        </w:rPr>
      </w:pPr>
      <w:r>
        <w:rPr>
          <w:rFonts w:ascii="Arial Narrow" w:hAnsi="Arial Narrow"/>
          <w:b/>
        </w:rPr>
        <w:t>Important: All summer courses must contain adequate contact minutes for the type of course and credit hours awarded.</w:t>
      </w:r>
    </w:p>
    <w:p w:rsidR="00F4467C" w:rsidRDefault="00F4467C" w:rsidP="00F4467C">
      <w:pPr>
        <w:numPr>
          <w:ilvl w:val="1"/>
          <w:numId w:val="1"/>
        </w:numPr>
        <w:spacing w:line="18" w:lineRule="atLeast"/>
        <w:rPr>
          <w:rFonts w:ascii="Arial Narrow" w:hAnsi="Arial Narrow"/>
          <w:sz w:val="22"/>
          <w:szCs w:val="22"/>
        </w:rPr>
      </w:pPr>
      <w:r>
        <w:rPr>
          <w:rFonts w:ascii="Arial Narrow" w:hAnsi="Arial Narrow"/>
          <w:sz w:val="22"/>
          <w:szCs w:val="22"/>
        </w:rPr>
        <w:t>Lecture Type Classes</w:t>
      </w:r>
      <w:r>
        <w:rPr>
          <w:rFonts w:ascii="Arial Narrow" w:hAnsi="Arial Narrow"/>
          <w:sz w:val="22"/>
          <w:szCs w:val="22"/>
        </w:rPr>
        <w:tab/>
        <w:t xml:space="preserve">LEC </w:t>
      </w:r>
      <w:r>
        <w:rPr>
          <w:rFonts w:ascii="Arial Narrow" w:hAnsi="Arial Narrow"/>
          <w:sz w:val="22"/>
          <w:szCs w:val="22"/>
        </w:rPr>
        <w:tab/>
        <w:t>750 contact minutes per credit hour</w:t>
      </w:r>
    </w:p>
    <w:p w:rsidR="00F4467C" w:rsidRDefault="00F4467C" w:rsidP="00F4467C">
      <w:pPr>
        <w:numPr>
          <w:ilvl w:val="1"/>
          <w:numId w:val="1"/>
        </w:numPr>
        <w:spacing w:line="18" w:lineRule="atLeast"/>
        <w:rPr>
          <w:rFonts w:ascii="Arial Narrow" w:hAnsi="Arial Narrow"/>
          <w:sz w:val="22"/>
          <w:szCs w:val="22"/>
        </w:rPr>
      </w:pPr>
      <w:r>
        <w:rPr>
          <w:rFonts w:ascii="Arial Narrow" w:hAnsi="Arial Narrow"/>
          <w:sz w:val="22"/>
          <w:szCs w:val="22"/>
        </w:rPr>
        <w:t>Laboratory Type Classes</w:t>
      </w:r>
      <w:r>
        <w:rPr>
          <w:rFonts w:ascii="Arial Narrow" w:hAnsi="Arial Narrow"/>
          <w:sz w:val="22"/>
          <w:szCs w:val="22"/>
        </w:rPr>
        <w:tab/>
        <w:t>LAB</w:t>
      </w:r>
      <w:r>
        <w:rPr>
          <w:rFonts w:ascii="Arial Narrow" w:hAnsi="Arial Narrow"/>
          <w:sz w:val="22"/>
          <w:szCs w:val="22"/>
        </w:rPr>
        <w:tab/>
        <w:t>usually double the lecture minutes per credit hour</w:t>
      </w:r>
    </w:p>
    <w:p w:rsidR="00F4467C" w:rsidRPr="00F4467C" w:rsidRDefault="00F4467C" w:rsidP="00F4467C">
      <w:pPr>
        <w:numPr>
          <w:ilvl w:val="1"/>
          <w:numId w:val="1"/>
        </w:numPr>
        <w:spacing w:line="18" w:lineRule="atLeast"/>
        <w:rPr>
          <w:rFonts w:ascii="Arial Narrow" w:hAnsi="Arial Narrow"/>
          <w:sz w:val="22"/>
          <w:szCs w:val="22"/>
        </w:rPr>
      </w:pPr>
      <w:r>
        <w:rPr>
          <w:rFonts w:ascii="Arial Narrow" w:hAnsi="Arial Narrow"/>
          <w:sz w:val="22"/>
          <w:szCs w:val="22"/>
        </w:rPr>
        <w:t>Lecture/Laboratory</w:t>
      </w:r>
      <w:r>
        <w:rPr>
          <w:rFonts w:ascii="Arial Narrow" w:hAnsi="Arial Narrow"/>
          <w:sz w:val="22"/>
          <w:szCs w:val="22"/>
        </w:rPr>
        <w:tab/>
        <w:t>L/L</w:t>
      </w:r>
      <w:r>
        <w:rPr>
          <w:rFonts w:ascii="Arial Narrow" w:hAnsi="Arial Narrow"/>
          <w:sz w:val="22"/>
          <w:szCs w:val="22"/>
        </w:rPr>
        <w:tab/>
        <w:t>usually between lecture and laboratory contact minutes</w:t>
      </w:r>
    </w:p>
    <w:p w:rsidR="0071589D" w:rsidRDefault="0071589D" w:rsidP="00093BF3">
      <w:pPr>
        <w:spacing w:line="18" w:lineRule="atLeast"/>
        <w:ind w:left="360"/>
        <w:rPr>
          <w:rFonts w:ascii="Arial Narrow" w:hAnsi="Arial Narrow"/>
          <w:b/>
        </w:rPr>
      </w:pPr>
    </w:p>
    <w:p w:rsidR="0071589D" w:rsidRDefault="0071589D" w:rsidP="00093BF3">
      <w:pPr>
        <w:spacing w:line="18" w:lineRule="atLeast"/>
        <w:ind w:left="360"/>
        <w:rPr>
          <w:rFonts w:ascii="Arial Narrow" w:hAnsi="Arial Narrow"/>
          <w:b/>
        </w:rPr>
      </w:pPr>
    </w:p>
    <w:p w:rsidR="0071589D" w:rsidRDefault="0071589D" w:rsidP="00093BF3">
      <w:pPr>
        <w:spacing w:line="18" w:lineRule="atLeast"/>
        <w:ind w:left="360"/>
        <w:rPr>
          <w:rFonts w:ascii="Arial Narrow" w:hAnsi="Arial Narrow"/>
          <w:b/>
        </w:rPr>
      </w:pPr>
    </w:p>
    <w:sectPr w:rsidR="0071589D" w:rsidSect="00F4467C">
      <w:pgSz w:w="12240" w:h="15840"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3388"/>
    <w:multiLevelType w:val="hybridMultilevel"/>
    <w:tmpl w:val="E77E780E"/>
    <w:lvl w:ilvl="0" w:tplc="40B84404">
      <w:start w:val="1"/>
      <w:numFmt w:val="decimal"/>
      <w:lvlText w:val="%1."/>
      <w:lvlJc w:val="left"/>
      <w:pPr>
        <w:tabs>
          <w:tab w:val="num" w:pos="720"/>
        </w:tabs>
        <w:ind w:left="720" w:hanging="360"/>
      </w:pPr>
      <w:rPr>
        <w:rFonts w:hint="default"/>
        <w:b/>
      </w:rPr>
    </w:lvl>
    <w:lvl w:ilvl="1" w:tplc="000C1C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664DDB"/>
    <w:multiLevelType w:val="hybridMultilevel"/>
    <w:tmpl w:val="16C29A0A"/>
    <w:lvl w:ilvl="0" w:tplc="0A00F70E">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34E69E3"/>
    <w:multiLevelType w:val="hybridMultilevel"/>
    <w:tmpl w:val="C9AE9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A00F70E">
      <w:start w:val="1"/>
      <w:numFmt w:val="bullet"/>
      <w:lvlText w:val=""/>
      <w:lvlJc w:val="left"/>
      <w:pPr>
        <w:tabs>
          <w:tab w:val="num" w:pos="2880"/>
        </w:tabs>
        <w:ind w:left="2880" w:hanging="360"/>
      </w:pPr>
      <w:rPr>
        <w:rFonts w:ascii="Symbol" w:hAnsi="Symbol" w:hint="default"/>
        <w:color w:val="00000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A007B2"/>
    <w:multiLevelType w:val="hybridMultilevel"/>
    <w:tmpl w:val="FE9ADF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F3"/>
    <w:rsid w:val="00052869"/>
    <w:rsid w:val="00093BF3"/>
    <w:rsid w:val="001D2CDF"/>
    <w:rsid w:val="001F42C3"/>
    <w:rsid w:val="002C1DD7"/>
    <w:rsid w:val="00310AE1"/>
    <w:rsid w:val="004B5AA7"/>
    <w:rsid w:val="0053399D"/>
    <w:rsid w:val="005D3546"/>
    <w:rsid w:val="00626EFE"/>
    <w:rsid w:val="0065256E"/>
    <w:rsid w:val="0071589D"/>
    <w:rsid w:val="00770976"/>
    <w:rsid w:val="00857F51"/>
    <w:rsid w:val="00875E01"/>
    <w:rsid w:val="008C4E66"/>
    <w:rsid w:val="00A078BE"/>
    <w:rsid w:val="00B47E2E"/>
    <w:rsid w:val="00B7653F"/>
    <w:rsid w:val="00DA371B"/>
    <w:rsid w:val="00F114C0"/>
    <w:rsid w:val="00F4467C"/>
    <w:rsid w:val="00FD6AC5"/>
    <w:rsid w:val="00FF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F3"/>
    <w:rPr>
      <w:rFonts w:ascii="Times New Roman" w:eastAsia="Times New Roman" w:hAnsi="Times New Roman"/>
      <w:sz w:val="24"/>
      <w:szCs w:val="24"/>
    </w:rPr>
  </w:style>
  <w:style w:type="paragraph" w:styleId="Heading4">
    <w:name w:val="heading 4"/>
    <w:basedOn w:val="Normal"/>
    <w:next w:val="Normal"/>
    <w:link w:val="Heading4Char"/>
    <w:qFormat/>
    <w:rsid w:val="00093BF3"/>
    <w:pPr>
      <w:keepNext/>
      <w:jc w:val="center"/>
      <w:outlineLvl w:val="3"/>
    </w:pPr>
    <w:rPr>
      <w:rFonts w:ascii="Georgia" w:hAnsi="Georgia"/>
      <w:b/>
      <w:bCs/>
      <w:sz w:val="20"/>
    </w:rPr>
  </w:style>
  <w:style w:type="paragraph" w:styleId="Heading5">
    <w:name w:val="heading 5"/>
    <w:basedOn w:val="Normal"/>
    <w:next w:val="Normal"/>
    <w:link w:val="Heading5Char"/>
    <w:qFormat/>
    <w:rsid w:val="00093BF3"/>
    <w:pPr>
      <w:keepNext/>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93BF3"/>
    <w:rPr>
      <w:rFonts w:ascii="Georgia" w:eastAsia="Times New Roman" w:hAnsi="Georgia" w:cs="Times New Roman"/>
      <w:b/>
      <w:bCs/>
      <w:sz w:val="20"/>
      <w:szCs w:val="24"/>
    </w:rPr>
  </w:style>
  <w:style w:type="character" w:customStyle="1" w:styleId="Heading5Char">
    <w:name w:val="Heading 5 Char"/>
    <w:basedOn w:val="DefaultParagraphFont"/>
    <w:link w:val="Heading5"/>
    <w:rsid w:val="00093BF3"/>
    <w:rPr>
      <w:rFonts w:ascii="Times New Roman" w:eastAsia="Times New Roman" w:hAnsi="Times New Roman" w:cs="Times New Roman"/>
      <w:b/>
      <w:bCs/>
      <w:sz w:val="16"/>
      <w:szCs w:val="24"/>
    </w:rPr>
  </w:style>
  <w:style w:type="paragraph" w:styleId="BodyText2">
    <w:name w:val="Body Text 2"/>
    <w:basedOn w:val="Normal"/>
    <w:link w:val="BodyText2Char"/>
    <w:rsid w:val="00093BF3"/>
    <w:rPr>
      <w:i/>
      <w:iCs/>
    </w:rPr>
  </w:style>
  <w:style w:type="character" w:customStyle="1" w:styleId="BodyText2Char">
    <w:name w:val="Body Text 2 Char"/>
    <w:basedOn w:val="DefaultParagraphFont"/>
    <w:link w:val="BodyText2"/>
    <w:rsid w:val="00093BF3"/>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F3"/>
    <w:rPr>
      <w:rFonts w:ascii="Times New Roman" w:eastAsia="Times New Roman" w:hAnsi="Times New Roman"/>
      <w:sz w:val="24"/>
      <w:szCs w:val="24"/>
    </w:rPr>
  </w:style>
  <w:style w:type="paragraph" w:styleId="Heading4">
    <w:name w:val="heading 4"/>
    <w:basedOn w:val="Normal"/>
    <w:next w:val="Normal"/>
    <w:link w:val="Heading4Char"/>
    <w:qFormat/>
    <w:rsid w:val="00093BF3"/>
    <w:pPr>
      <w:keepNext/>
      <w:jc w:val="center"/>
      <w:outlineLvl w:val="3"/>
    </w:pPr>
    <w:rPr>
      <w:rFonts w:ascii="Georgia" w:hAnsi="Georgia"/>
      <w:b/>
      <w:bCs/>
      <w:sz w:val="20"/>
    </w:rPr>
  </w:style>
  <w:style w:type="paragraph" w:styleId="Heading5">
    <w:name w:val="heading 5"/>
    <w:basedOn w:val="Normal"/>
    <w:next w:val="Normal"/>
    <w:link w:val="Heading5Char"/>
    <w:qFormat/>
    <w:rsid w:val="00093BF3"/>
    <w:pPr>
      <w:keepNext/>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93BF3"/>
    <w:rPr>
      <w:rFonts w:ascii="Georgia" w:eastAsia="Times New Roman" w:hAnsi="Georgia" w:cs="Times New Roman"/>
      <w:b/>
      <w:bCs/>
      <w:sz w:val="20"/>
      <w:szCs w:val="24"/>
    </w:rPr>
  </w:style>
  <w:style w:type="character" w:customStyle="1" w:styleId="Heading5Char">
    <w:name w:val="Heading 5 Char"/>
    <w:basedOn w:val="DefaultParagraphFont"/>
    <w:link w:val="Heading5"/>
    <w:rsid w:val="00093BF3"/>
    <w:rPr>
      <w:rFonts w:ascii="Times New Roman" w:eastAsia="Times New Roman" w:hAnsi="Times New Roman" w:cs="Times New Roman"/>
      <w:b/>
      <w:bCs/>
      <w:sz w:val="16"/>
      <w:szCs w:val="24"/>
    </w:rPr>
  </w:style>
  <w:style w:type="paragraph" w:styleId="BodyText2">
    <w:name w:val="Body Text 2"/>
    <w:basedOn w:val="Normal"/>
    <w:link w:val="BodyText2Char"/>
    <w:rsid w:val="00093BF3"/>
    <w:rPr>
      <w:i/>
      <w:iCs/>
    </w:rPr>
  </w:style>
  <w:style w:type="character" w:customStyle="1" w:styleId="BodyText2Char">
    <w:name w:val="Body Text 2 Char"/>
    <w:basedOn w:val="DefaultParagraphFont"/>
    <w:link w:val="BodyText2"/>
    <w:rsid w:val="00093BF3"/>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admin</cp:lastModifiedBy>
  <cp:revision>2</cp:revision>
  <dcterms:created xsi:type="dcterms:W3CDTF">2012-11-27T13:58:00Z</dcterms:created>
  <dcterms:modified xsi:type="dcterms:W3CDTF">2012-11-27T13:58:00Z</dcterms:modified>
</cp:coreProperties>
</file>